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F8E0E" w14:textId="569107F5" w:rsidR="00B51866" w:rsidRPr="007B5CA7" w:rsidRDefault="00B51866">
      <w:pPr>
        <w:rPr>
          <w:rFonts w:ascii="Arial" w:hAnsi="Arial" w:cs="Arial"/>
          <w:sz w:val="20"/>
          <w:szCs w:val="20"/>
        </w:rPr>
      </w:pPr>
    </w:p>
    <w:p w14:paraId="14EB1FD1" w14:textId="2928101B" w:rsidR="007B5CA7" w:rsidRPr="007B5CA7" w:rsidRDefault="007B5CA7" w:rsidP="007B5CA7">
      <w:pPr>
        <w:jc w:val="right"/>
        <w:rPr>
          <w:rFonts w:ascii="Arial" w:hAnsi="Arial" w:cs="Arial"/>
          <w:sz w:val="20"/>
          <w:szCs w:val="20"/>
        </w:rPr>
      </w:pPr>
      <w:r w:rsidRPr="007B5CA7">
        <w:rPr>
          <w:rFonts w:ascii="Arial" w:hAnsi="Arial" w:cs="Arial"/>
          <w:sz w:val="20"/>
          <w:szCs w:val="20"/>
        </w:rPr>
        <w:t xml:space="preserve">Warszawa, </w:t>
      </w:r>
      <w:r w:rsidR="001B615D">
        <w:rPr>
          <w:rFonts w:ascii="Arial" w:hAnsi="Arial" w:cs="Arial"/>
          <w:sz w:val="20"/>
          <w:szCs w:val="20"/>
        </w:rPr>
        <w:t>1</w:t>
      </w:r>
      <w:r w:rsidR="00657050">
        <w:rPr>
          <w:rFonts w:ascii="Arial" w:hAnsi="Arial" w:cs="Arial"/>
          <w:sz w:val="20"/>
          <w:szCs w:val="20"/>
        </w:rPr>
        <w:t>4</w:t>
      </w:r>
      <w:r w:rsidR="006421A9">
        <w:rPr>
          <w:rFonts w:ascii="Arial" w:hAnsi="Arial" w:cs="Arial"/>
          <w:sz w:val="20"/>
          <w:szCs w:val="20"/>
        </w:rPr>
        <w:t xml:space="preserve"> </w:t>
      </w:r>
      <w:r w:rsidR="00A8174F">
        <w:rPr>
          <w:rFonts w:ascii="Arial" w:hAnsi="Arial" w:cs="Arial"/>
          <w:sz w:val="20"/>
          <w:szCs w:val="20"/>
        </w:rPr>
        <w:t>października</w:t>
      </w:r>
      <w:r w:rsidRPr="007B5CA7">
        <w:rPr>
          <w:rFonts w:ascii="Arial" w:hAnsi="Arial" w:cs="Arial"/>
          <w:sz w:val="20"/>
          <w:szCs w:val="20"/>
        </w:rPr>
        <w:t xml:space="preserve"> 202</w:t>
      </w:r>
      <w:r w:rsidR="00A8174F">
        <w:rPr>
          <w:rFonts w:ascii="Arial" w:hAnsi="Arial" w:cs="Arial"/>
          <w:sz w:val="20"/>
          <w:szCs w:val="20"/>
        </w:rPr>
        <w:t>4</w:t>
      </w:r>
    </w:p>
    <w:p w14:paraId="0BFA189D" w14:textId="77777777" w:rsidR="00A8174F" w:rsidRDefault="00A8174F" w:rsidP="008A6D45">
      <w:pPr>
        <w:spacing w:after="160"/>
        <w:jc w:val="both"/>
        <w:rPr>
          <w:rFonts w:ascii="Arial" w:hAnsi="Arial" w:cs="Arial"/>
          <w:b/>
          <w:bCs/>
          <w:sz w:val="20"/>
          <w:szCs w:val="20"/>
        </w:rPr>
      </w:pPr>
    </w:p>
    <w:p w14:paraId="01482B76" w14:textId="194A543B" w:rsidR="001B615D" w:rsidRPr="00C169F8" w:rsidRDefault="000E1E6A" w:rsidP="00C169F8">
      <w:pPr>
        <w:pStyle w:val="Nagwek3"/>
        <w:keepNext w:val="0"/>
        <w:keepLines w:val="0"/>
        <w:spacing w:before="280"/>
        <w:rPr>
          <w:b/>
          <w:color w:val="000000"/>
          <w:sz w:val="22"/>
          <w:szCs w:val="22"/>
        </w:rPr>
      </w:pPr>
      <w:bookmarkStart w:id="0" w:name="_l3of538x7ed1" w:colFirst="0" w:colLast="0"/>
      <w:bookmarkEnd w:id="0"/>
      <w:r>
        <w:rPr>
          <w:b/>
          <w:color w:val="000000"/>
          <w:sz w:val="22"/>
          <w:szCs w:val="22"/>
        </w:rPr>
        <w:t xml:space="preserve">Polacy </w:t>
      </w:r>
      <w:r w:rsidR="0048337C">
        <w:rPr>
          <w:b/>
          <w:color w:val="000000"/>
          <w:sz w:val="22"/>
          <w:szCs w:val="22"/>
        </w:rPr>
        <w:t>walczący ze</w:t>
      </w:r>
      <w:r>
        <w:rPr>
          <w:b/>
          <w:color w:val="000000"/>
          <w:sz w:val="22"/>
          <w:szCs w:val="22"/>
        </w:rPr>
        <w:t xml:space="preserve"> skutk</w:t>
      </w:r>
      <w:r w:rsidR="0048337C">
        <w:rPr>
          <w:b/>
          <w:color w:val="000000"/>
          <w:sz w:val="22"/>
          <w:szCs w:val="22"/>
        </w:rPr>
        <w:t>ami</w:t>
      </w:r>
      <w:r>
        <w:rPr>
          <w:b/>
          <w:color w:val="000000"/>
          <w:sz w:val="22"/>
          <w:szCs w:val="22"/>
        </w:rPr>
        <w:t xml:space="preserve"> powodzi – </w:t>
      </w:r>
      <w:r w:rsidR="0048337C">
        <w:rPr>
          <w:b/>
          <w:color w:val="000000"/>
          <w:sz w:val="22"/>
          <w:szCs w:val="22"/>
        </w:rPr>
        <w:t xml:space="preserve">ile dni wolnych </w:t>
      </w:r>
      <w:r w:rsidR="00371B0C">
        <w:rPr>
          <w:b/>
          <w:color w:val="000000"/>
          <w:sz w:val="22"/>
          <w:szCs w:val="22"/>
        </w:rPr>
        <w:t>od</w:t>
      </w:r>
      <w:r w:rsidR="0048337C">
        <w:rPr>
          <w:b/>
          <w:color w:val="000000"/>
          <w:sz w:val="22"/>
          <w:szCs w:val="22"/>
        </w:rPr>
        <w:t xml:space="preserve"> pracy im przysługuje?</w:t>
      </w:r>
    </w:p>
    <w:p w14:paraId="68B747D8" w14:textId="32BF7738" w:rsidR="007056FB" w:rsidRDefault="007056FB" w:rsidP="00C93E3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1BDE51E" w14:textId="66798676" w:rsidR="00955385" w:rsidRDefault="00955385" w:rsidP="00C705F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 konsekwencji wrześniowej powodzi s</w:t>
      </w:r>
      <w:r w:rsidR="000E1E6A">
        <w:rPr>
          <w:rFonts w:ascii="Arial" w:hAnsi="Arial" w:cs="Arial"/>
          <w:b/>
          <w:bCs/>
          <w:sz w:val="20"/>
          <w:szCs w:val="20"/>
        </w:rPr>
        <w:t xml:space="preserve">tanem klęski żywiołowej zostało objętych 749 miejscowości i 2 mln 390 tys. osób. Realnie powódź dotknęła 57 tys. osób, </w:t>
      </w:r>
      <w:r w:rsidR="00AA2C94">
        <w:rPr>
          <w:rFonts w:ascii="Arial" w:hAnsi="Arial" w:cs="Arial"/>
          <w:b/>
          <w:bCs/>
          <w:sz w:val="20"/>
          <w:szCs w:val="20"/>
        </w:rPr>
        <w:t xml:space="preserve">które </w:t>
      </w:r>
      <w:r w:rsidR="0048337C">
        <w:rPr>
          <w:rFonts w:ascii="Arial" w:hAnsi="Arial" w:cs="Arial"/>
          <w:b/>
          <w:bCs/>
          <w:sz w:val="20"/>
          <w:szCs w:val="20"/>
        </w:rPr>
        <w:t>nadal</w:t>
      </w:r>
      <w:r w:rsidR="00AA2C9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usuwają jej </w:t>
      </w:r>
      <w:r w:rsidR="0048337C">
        <w:rPr>
          <w:rFonts w:ascii="Arial" w:hAnsi="Arial" w:cs="Arial"/>
          <w:b/>
          <w:bCs/>
          <w:sz w:val="20"/>
          <w:szCs w:val="20"/>
        </w:rPr>
        <w:t>skutk</w:t>
      </w:r>
      <w:r>
        <w:rPr>
          <w:rFonts w:ascii="Arial" w:hAnsi="Arial" w:cs="Arial"/>
          <w:b/>
          <w:bCs/>
          <w:sz w:val="20"/>
          <w:szCs w:val="20"/>
        </w:rPr>
        <w:t>i ze swoich domów czy miejscowości. Warto wiedzieć, jak w tym zakresie wspiera powodzian ustawa, określająca</w:t>
      </w:r>
      <w:r w:rsidR="00F61EB4">
        <w:rPr>
          <w:rFonts w:ascii="Arial" w:hAnsi="Arial" w:cs="Arial"/>
          <w:b/>
          <w:bCs/>
          <w:sz w:val="20"/>
          <w:szCs w:val="20"/>
        </w:rPr>
        <w:t xml:space="preserve"> prawa pracownika i</w:t>
      </w:r>
      <w:r>
        <w:rPr>
          <w:rFonts w:ascii="Arial" w:hAnsi="Arial" w:cs="Arial"/>
          <w:b/>
          <w:bCs/>
          <w:sz w:val="20"/>
          <w:szCs w:val="20"/>
        </w:rPr>
        <w:t xml:space="preserve"> obowiązki pracodawcy w momencie wystąpienia klęski powodzi. </w:t>
      </w:r>
    </w:p>
    <w:p w14:paraId="1BF69159" w14:textId="777E0573" w:rsidR="00955385" w:rsidRDefault="00955385" w:rsidP="00C705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Wg danych rządu, powódź doprowadziła do uszkodzenia ponad 11,5 tys. budynków, z czego ponad 6 tys. to budynki gospodarcze, a 724 to obiekty użyteczności publicznej, takie jak szkoły, przedszkola, obiekty sportowe, budynki administracji, ale także mosty i drogi. W pierwszym etapie wymagały uprzątnięcia </w:t>
      </w:r>
      <w:r w:rsidR="00E249A1">
        <w:rPr>
          <w:rFonts w:ascii="Arial" w:hAnsi="Arial" w:cs="Arial"/>
          <w:sz w:val="20"/>
          <w:szCs w:val="20"/>
        </w:rPr>
        <w:t xml:space="preserve">z mułu i wyrzucenia zniszczonego wyposażenia, kolejny, bardziej czasochłonny, to osuszanie i odnawianie budynków, </w:t>
      </w:r>
      <w:r w:rsidR="00657050">
        <w:rPr>
          <w:rFonts w:ascii="Arial" w:hAnsi="Arial" w:cs="Arial"/>
          <w:sz w:val="20"/>
          <w:szCs w:val="20"/>
        </w:rPr>
        <w:t>jeśli</w:t>
      </w:r>
      <w:r w:rsidR="00E249A1">
        <w:rPr>
          <w:rFonts w:ascii="Arial" w:hAnsi="Arial" w:cs="Arial"/>
          <w:sz w:val="20"/>
          <w:szCs w:val="20"/>
        </w:rPr>
        <w:t xml:space="preserve"> stan techniczny na to pozwala. A to wymaga pełnego zaangażowania nie tylko ich właścicieli, ale też bliskich osób, które są je w stanie wesprzeć w często </w:t>
      </w:r>
      <w:r w:rsidR="00F61EB4">
        <w:rPr>
          <w:rFonts w:ascii="Arial" w:hAnsi="Arial" w:cs="Arial"/>
          <w:sz w:val="20"/>
          <w:szCs w:val="20"/>
        </w:rPr>
        <w:t xml:space="preserve">tak </w:t>
      </w:r>
      <w:r w:rsidR="00E249A1">
        <w:rPr>
          <w:rFonts w:ascii="Arial" w:hAnsi="Arial" w:cs="Arial"/>
          <w:sz w:val="20"/>
          <w:szCs w:val="20"/>
        </w:rPr>
        <w:t xml:space="preserve">dramatycznej sytuacji. </w:t>
      </w:r>
    </w:p>
    <w:p w14:paraId="14E75C9F" w14:textId="71044A2A" w:rsidR="0048337C" w:rsidRDefault="00E249A1" w:rsidP="00C705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pogodzeniu walki ze skutkami wielkiej wody z obowiązkami zawodowymi pomaga</w:t>
      </w:r>
      <w:r w:rsidR="00C705F1">
        <w:rPr>
          <w:rFonts w:ascii="Arial" w:hAnsi="Arial" w:cs="Arial"/>
          <w:sz w:val="20"/>
          <w:szCs w:val="20"/>
        </w:rPr>
        <w:t>ją</w:t>
      </w:r>
      <w:r>
        <w:rPr>
          <w:rFonts w:ascii="Arial" w:hAnsi="Arial" w:cs="Arial"/>
          <w:sz w:val="20"/>
          <w:szCs w:val="20"/>
        </w:rPr>
        <w:t xml:space="preserve"> powodzianom </w:t>
      </w:r>
      <w:r w:rsidR="00C705F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bowiązk</w:t>
      </w:r>
      <w:r w:rsidR="00C705F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pracodawców wynikając</w:t>
      </w:r>
      <w:r w:rsidR="00C705F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ze zmiany ustawy o szczególnych rozwiązaniach związanych z usuwaniem skutków powodzi oraz ustaw</w:t>
      </w:r>
      <w:r w:rsidR="00C705F1">
        <w:rPr>
          <w:rFonts w:ascii="Arial" w:hAnsi="Arial" w:cs="Arial"/>
          <w:sz w:val="20"/>
          <w:szCs w:val="20"/>
        </w:rPr>
        <w:t xml:space="preserve">a o wspieraniu przedsiębiorców dotkniętych skutkami powodzi z 2010 r. </w:t>
      </w:r>
      <w:r w:rsidR="0048337C" w:rsidRPr="0048337C">
        <w:rPr>
          <w:rFonts w:ascii="Arial" w:hAnsi="Arial" w:cs="Arial"/>
          <w:sz w:val="20"/>
          <w:szCs w:val="20"/>
        </w:rPr>
        <w:t>(Dz.U.2024.1473 art. 1, wersja od 05.10.2024)</w:t>
      </w:r>
      <w:r w:rsidR="00C705F1">
        <w:rPr>
          <w:rFonts w:ascii="Arial" w:hAnsi="Arial" w:cs="Arial"/>
          <w:sz w:val="20"/>
          <w:szCs w:val="20"/>
        </w:rPr>
        <w:t>.</w:t>
      </w:r>
    </w:p>
    <w:p w14:paraId="30A6FF3C" w14:textId="4AA0CD72" w:rsidR="0048337C" w:rsidRDefault="00C705F1" w:rsidP="00C705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F61EB4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i/>
          <w:iCs/>
          <w:sz w:val="20"/>
          <w:szCs w:val="20"/>
        </w:rPr>
        <w:t xml:space="preserve">rzepisy wskazują m.in., że poszkodowanym pracownikom przysługuje zwolnienie od pracy w wymiarze do 20 dni, jeśli w konsekwencji powodzi ucierpiało ich mienie, mienie osoby spokrewnionej lub niespokrewnionej, pozostającej z nią w faktycznym związku, wspólnie zamieszkującej i gospodarującej. </w:t>
      </w:r>
      <w:r w:rsidR="0048337C" w:rsidRPr="0048337C">
        <w:rPr>
          <w:rFonts w:ascii="Arial" w:hAnsi="Arial" w:cs="Arial"/>
          <w:i/>
          <w:iCs/>
          <w:sz w:val="20"/>
          <w:szCs w:val="20"/>
        </w:rPr>
        <w:t>W okresie tego zwolnienia od pracy pracownik zachowuje prawo do wynagrodzenia, obliczonego według zasad obowiązujących przy obliczaniu wynagrodzenia za czas urlopu wypoczynkowego.</w:t>
      </w:r>
      <w:r>
        <w:rPr>
          <w:rFonts w:ascii="Arial" w:hAnsi="Arial" w:cs="Arial"/>
          <w:i/>
          <w:iCs/>
          <w:sz w:val="20"/>
          <w:szCs w:val="20"/>
        </w:rPr>
        <w:t xml:space="preserve"> Co ważne, p</w:t>
      </w:r>
      <w:r w:rsidR="0048337C" w:rsidRPr="0048337C">
        <w:rPr>
          <w:rFonts w:ascii="Arial" w:hAnsi="Arial" w:cs="Arial"/>
          <w:i/>
          <w:iCs/>
          <w:sz w:val="20"/>
          <w:szCs w:val="20"/>
        </w:rPr>
        <w:t xml:space="preserve">racodawca jest </w:t>
      </w:r>
      <w:r>
        <w:rPr>
          <w:rFonts w:ascii="Arial" w:hAnsi="Arial" w:cs="Arial"/>
          <w:i/>
          <w:iCs/>
          <w:sz w:val="20"/>
          <w:szCs w:val="20"/>
        </w:rPr>
        <w:t>z</w:t>
      </w:r>
      <w:r w:rsidR="0048337C" w:rsidRPr="0048337C">
        <w:rPr>
          <w:rFonts w:ascii="Arial" w:hAnsi="Arial" w:cs="Arial"/>
          <w:i/>
          <w:iCs/>
          <w:sz w:val="20"/>
          <w:szCs w:val="20"/>
        </w:rPr>
        <w:t>obowiązany udzielić zwolnienia od pracy na wniosek zgłoszony przez pracownika najpóźniej w dniu korzystania z tego zwolnienia, chyba że nie jest to obiektywnie możliwe ze względu na szczególne potrzeby pracodawcy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wyjaśnia Monika Grządziela, Ekspert ds. bezpieczeństwa pracy W&amp;W Consulting. </w:t>
      </w:r>
    </w:p>
    <w:p w14:paraId="6DA1D96B" w14:textId="070CC824" w:rsidR="0048337C" w:rsidRDefault="00C705F1" w:rsidP="005C4D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Sytuacja </w:t>
      </w:r>
      <w:r w:rsidR="005C4D12">
        <w:rPr>
          <w:rFonts w:ascii="Arial" w:hAnsi="Arial" w:cs="Arial"/>
          <w:sz w:val="20"/>
          <w:szCs w:val="20"/>
        </w:rPr>
        <w:t xml:space="preserve">powodziowa stanowi również podstawę do usprawiedliwienia nieobecności w pracy. </w:t>
      </w:r>
      <w:r w:rsidR="0048337C" w:rsidRPr="0048337C">
        <w:rPr>
          <w:rFonts w:ascii="Arial" w:hAnsi="Arial" w:cs="Arial"/>
          <w:sz w:val="20"/>
          <w:szCs w:val="20"/>
        </w:rPr>
        <w:t xml:space="preserve">Za czas usprawiedliwionej nieobecności pracownikowi przysługuje prawo do odpowiedniej części minimalnego wynagrodzenia, ustalanego na podstawie odrębnych przepisów, przez okres nie dłuższy niż 10 dni roboczych wynikających z </w:t>
      </w:r>
      <w:r w:rsidR="005C4D12">
        <w:rPr>
          <w:rFonts w:ascii="Arial" w:hAnsi="Arial" w:cs="Arial"/>
          <w:sz w:val="20"/>
          <w:szCs w:val="20"/>
        </w:rPr>
        <w:t xml:space="preserve">jego </w:t>
      </w:r>
      <w:r w:rsidR="0048337C" w:rsidRPr="0048337C">
        <w:rPr>
          <w:rFonts w:ascii="Arial" w:hAnsi="Arial" w:cs="Arial"/>
          <w:sz w:val="20"/>
          <w:szCs w:val="20"/>
        </w:rPr>
        <w:t>rozkładu czasu pracy</w:t>
      </w:r>
      <w:r w:rsidR="005C4D12">
        <w:rPr>
          <w:rFonts w:ascii="Arial" w:hAnsi="Arial" w:cs="Arial"/>
          <w:sz w:val="20"/>
          <w:szCs w:val="20"/>
        </w:rPr>
        <w:t xml:space="preserve">. </w:t>
      </w:r>
    </w:p>
    <w:p w14:paraId="3CAD4B7A" w14:textId="65CD97F9" w:rsidR="0048337C" w:rsidRPr="0048337C" w:rsidRDefault="0048337C" w:rsidP="005C4D12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Arial" w:hAnsi="Arial" w:cs="Arial"/>
          <w:sz w:val="20"/>
          <w:szCs w:val="20"/>
        </w:rPr>
      </w:pPr>
      <w:r w:rsidRPr="0048337C">
        <w:rPr>
          <w:rFonts w:ascii="Arial" w:hAnsi="Arial" w:cs="Arial"/>
          <w:sz w:val="20"/>
          <w:szCs w:val="20"/>
        </w:rPr>
        <w:t xml:space="preserve">Pracodawca jest </w:t>
      </w:r>
      <w:r w:rsidR="005C4D12">
        <w:rPr>
          <w:rFonts w:ascii="Arial" w:hAnsi="Arial" w:cs="Arial"/>
          <w:sz w:val="20"/>
          <w:szCs w:val="20"/>
        </w:rPr>
        <w:t>również z</w:t>
      </w:r>
      <w:r w:rsidRPr="0048337C">
        <w:rPr>
          <w:rFonts w:ascii="Arial" w:hAnsi="Arial" w:cs="Arial"/>
          <w:sz w:val="20"/>
          <w:szCs w:val="20"/>
        </w:rPr>
        <w:t xml:space="preserve">obowiązany do udzielenia na żądanie pracownika </w:t>
      </w:r>
      <w:r w:rsidR="005C4D12">
        <w:rPr>
          <w:rFonts w:ascii="Arial" w:hAnsi="Arial" w:cs="Arial"/>
          <w:sz w:val="20"/>
          <w:szCs w:val="20"/>
        </w:rPr>
        <w:t xml:space="preserve">maksymalnie 8 dni urlopu wypoczynkowego w terminie przez niego wskazanym. </w:t>
      </w:r>
      <w:r w:rsidRPr="0048337C">
        <w:rPr>
          <w:rFonts w:ascii="Arial" w:hAnsi="Arial" w:cs="Arial"/>
          <w:sz w:val="20"/>
          <w:szCs w:val="20"/>
        </w:rPr>
        <w:t xml:space="preserve">Pracownik zgłasza żądanie udzielenia urlopu najpóźniej w dniu </w:t>
      </w:r>
      <w:r w:rsidR="005C4D12">
        <w:rPr>
          <w:rFonts w:ascii="Arial" w:hAnsi="Arial" w:cs="Arial"/>
          <w:sz w:val="20"/>
          <w:szCs w:val="20"/>
        </w:rPr>
        <w:t xml:space="preserve">jego </w:t>
      </w:r>
      <w:r w:rsidRPr="0048337C">
        <w:rPr>
          <w:rFonts w:ascii="Arial" w:hAnsi="Arial" w:cs="Arial"/>
          <w:sz w:val="20"/>
          <w:szCs w:val="20"/>
        </w:rPr>
        <w:t>rozpoczęcia. </w:t>
      </w:r>
      <w:r w:rsidR="005C4D12">
        <w:rPr>
          <w:rFonts w:ascii="Arial" w:hAnsi="Arial" w:cs="Arial"/>
          <w:sz w:val="20"/>
          <w:szCs w:val="20"/>
        </w:rPr>
        <w:t xml:space="preserve">Co ważne, osoby zatrudnione mają prawo do wykorzystania urlopu wypoczynkowego w wymiarze godzinowym </w:t>
      </w:r>
      <w:r w:rsidR="00FA760E">
        <w:rPr>
          <w:rFonts w:ascii="Arial" w:hAnsi="Arial" w:cs="Arial"/>
          <w:sz w:val="20"/>
          <w:szCs w:val="20"/>
        </w:rPr>
        <w:t>–</w:t>
      </w:r>
      <w:r w:rsidR="005C4D12">
        <w:rPr>
          <w:rFonts w:ascii="Arial" w:hAnsi="Arial" w:cs="Arial"/>
          <w:sz w:val="20"/>
          <w:szCs w:val="20"/>
        </w:rPr>
        <w:t xml:space="preserve"> </w:t>
      </w:r>
      <w:r w:rsidR="00FA760E">
        <w:rPr>
          <w:rFonts w:ascii="Arial" w:hAnsi="Arial" w:cs="Arial"/>
          <w:sz w:val="20"/>
          <w:szCs w:val="20"/>
        </w:rPr>
        <w:t xml:space="preserve">np. 3 godzin w czasie 8-godzinnego dnia pracy, przy czym urlop w tym trybie nie może przekroczyć 5 dni. </w:t>
      </w:r>
    </w:p>
    <w:p w14:paraId="0E6E49F4" w14:textId="0FE8ECD1" w:rsidR="0048337C" w:rsidRDefault="00FA760E" w:rsidP="00773698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773698">
        <w:rPr>
          <w:rFonts w:ascii="Arial" w:hAnsi="Arial" w:cs="Arial"/>
          <w:i/>
          <w:iCs/>
          <w:sz w:val="20"/>
          <w:szCs w:val="20"/>
        </w:rPr>
        <w:t xml:space="preserve">Osoby poszkodowane podczas tegorocznej powodzi powinny być również świadome możliwości złożenia wniosku </w:t>
      </w:r>
      <w:r w:rsidR="0048337C" w:rsidRPr="0048337C">
        <w:rPr>
          <w:rFonts w:ascii="Arial" w:hAnsi="Arial" w:cs="Arial"/>
          <w:i/>
          <w:iCs/>
          <w:sz w:val="20"/>
          <w:szCs w:val="20"/>
        </w:rPr>
        <w:t>o obniżenie wymiaru czasu pracy</w:t>
      </w:r>
      <w:r w:rsidR="00773698" w:rsidRPr="00773698">
        <w:rPr>
          <w:rFonts w:ascii="Arial" w:hAnsi="Arial" w:cs="Arial"/>
          <w:i/>
          <w:iCs/>
          <w:sz w:val="20"/>
          <w:szCs w:val="20"/>
        </w:rPr>
        <w:t xml:space="preserve"> do poziomu maksymalnie 50%</w:t>
      </w:r>
      <w:r w:rsidRPr="00773698">
        <w:rPr>
          <w:rFonts w:ascii="Arial" w:hAnsi="Arial" w:cs="Arial"/>
          <w:i/>
          <w:iCs/>
          <w:sz w:val="20"/>
          <w:szCs w:val="20"/>
        </w:rPr>
        <w:t xml:space="preserve"> (</w:t>
      </w:r>
      <w:r w:rsidRPr="0048337C">
        <w:rPr>
          <w:rFonts w:ascii="Arial" w:hAnsi="Arial" w:cs="Arial"/>
          <w:i/>
          <w:iCs/>
          <w:sz w:val="20"/>
          <w:szCs w:val="20"/>
        </w:rPr>
        <w:t>w postaci papierowej lub elektronicznej</w:t>
      </w:r>
      <w:r w:rsidRPr="00773698">
        <w:rPr>
          <w:rFonts w:ascii="Arial" w:hAnsi="Arial" w:cs="Arial"/>
          <w:i/>
          <w:iCs/>
          <w:sz w:val="20"/>
          <w:szCs w:val="20"/>
        </w:rPr>
        <w:t>)</w:t>
      </w:r>
      <w:r w:rsidR="0048337C" w:rsidRPr="0048337C">
        <w:rPr>
          <w:rFonts w:ascii="Arial" w:hAnsi="Arial" w:cs="Arial"/>
          <w:i/>
          <w:iCs/>
          <w:sz w:val="20"/>
          <w:szCs w:val="20"/>
        </w:rPr>
        <w:t xml:space="preserve">. Pracodawca jest obowiązany do uwzględnienia wniosku pracownika, chyba że nie jest to możliwe ze względu na organizację pracy lub </w:t>
      </w:r>
      <w:r w:rsidR="00773698" w:rsidRPr="00773698">
        <w:rPr>
          <w:rFonts w:ascii="Arial" w:hAnsi="Arial" w:cs="Arial"/>
          <w:i/>
          <w:iCs/>
          <w:sz w:val="20"/>
          <w:szCs w:val="20"/>
        </w:rPr>
        <w:t xml:space="preserve">jej </w:t>
      </w:r>
      <w:r w:rsidR="0048337C" w:rsidRPr="0048337C">
        <w:rPr>
          <w:rFonts w:ascii="Arial" w:hAnsi="Arial" w:cs="Arial"/>
          <w:i/>
          <w:iCs/>
          <w:sz w:val="20"/>
          <w:szCs w:val="20"/>
        </w:rPr>
        <w:t>rodzaj</w:t>
      </w:r>
      <w:r w:rsidR="00773698" w:rsidRPr="00773698">
        <w:rPr>
          <w:rFonts w:ascii="Arial" w:hAnsi="Arial" w:cs="Arial"/>
          <w:i/>
          <w:iCs/>
          <w:sz w:val="20"/>
          <w:szCs w:val="20"/>
        </w:rPr>
        <w:t xml:space="preserve">, natomiast musi o tym </w:t>
      </w:r>
      <w:r w:rsidR="00773698" w:rsidRPr="00773698">
        <w:rPr>
          <w:rFonts w:ascii="Arial" w:hAnsi="Arial" w:cs="Arial"/>
          <w:i/>
          <w:iCs/>
          <w:sz w:val="20"/>
          <w:szCs w:val="20"/>
        </w:rPr>
        <w:lastRenderedPageBreak/>
        <w:t>poinformować pracownika w terminie maksymalnie 2 dni roboczych od daty złożenia wniosku. W kontekście czasu pracy warto również zaznaczyć, że p</w:t>
      </w:r>
      <w:r w:rsidR="0048337C" w:rsidRPr="0048337C">
        <w:rPr>
          <w:rFonts w:ascii="Arial" w:hAnsi="Arial" w:cs="Arial"/>
          <w:i/>
          <w:iCs/>
          <w:sz w:val="20"/>
          <w:szCs w:val="20"/>
        </w:rPr>
        <w:t xml:space="preserve">racodawca nie może zatrudniać pracownika zamieszkującego tereny objęte powodzią w godzinach nadliczbowych ani delegować </w:t>
      </w:r>
      <w:r w:rsidR="00773698" w:rsidRPr="00773698">
        <w:rPr>
          <w:rFonts w:ascii="Arial" w:hAnsi="Arial" w:cs="Arial"/>
          <w:i/>
          <w:iCs/>
          <w:sz w:val="20"/>
          <w:szCs w:val="20"/>
        </w:rPr>
        <w:t xml:space="preserve">go </w:t>
      </w:r>
      <w:r w:rsidR="0048337C" w:rsidRPr="0048337C">
        <w:rPr>
          <w:rFonts w:ascii="Arial" w:hAnsi="Arial" w:cs="Arial"/>
          <w:i/>
          <w:iCs/>
          <w:sz w:val="20"/>
          <w:szCs w:val="20"/>
        </w:rPr>
        <w:t>poza stałe miejsce pracy – bez jego zgody</w:t>
      </w:r>
      <w:r w:rsidR="00773698">
        <w:rPr>
          <w:rFonts w:ascii="Arial" w:hAnsi="Arial" w:cs="Arial"/>
          <w:i/>
          <w:iCs/>
          <w:sz w:val="20"/>
          <w:szCs w:val="20"/>
        </w:rPr>
        <w:t xml:space="preserve"> </w:t>
      </w:r>
      <w:r w:rsidR="00773698">
        <w:rPr>
          <w:rFonts w:ascii="Arial" w:hAnsi="Arial" w:cs="Arial"/>
          <w:sz w:val="20"/>
          <w:szCs w:val="20"/>
        </w:rPr>
        <w:t xml:space="preserve">– dodaje Monika Grządziela. </w:t>
      </w:r>
    </w:p>
    <w:p w14:paraId="126EFF46" w14:textId="1551ED05" w:rsidR="0048337C" w:rsidRDefault="0048337C" w:rsidP="00773698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Arial" w:hAnsi="Arial" w:cs="Arial"/>
          <w:sz w:val="20"/>
          <w:szCs w:val="20"/>
        </w:rPr>
      </w:pPr>
      <w:r w:rsidRPr="0048337C">
        <w:rPr>
          <w:rFonts w:ascii="Arial" w:hAnsi="Arial" w:cs="Arial"/>
          <w:sz w:val="20"/>
          <w:szCs w:val="20"/>
        </w:rPr>
        <w:t>W przypadku pracowników zamieszkałych na terenie obszaru wskazanego w przepisach</w:t>
      </w:r>
      <w:r w:rsidR="00773698">
        <w:rPr>
          <w:rFonts w:ascii="Arial" w:hAnsi="Arial" w:cs="Arial"/>
          <w:sz w:val="20"/>
          <w:szCs w:val="20"/>
        </w:rPr>
        <w:t>,</w:t>
      </w:r>
      <w:r w:rsidRPr="0048337C">
        <w:rPr>
          <w:rFonts w:ascii="Arial" w:hAnsi="Arial" w:cs="Arial"/>
          <w:sz w:val="20"/>
          <w:szCs w:val="20"/>
        </w:rPr>
        <w:t> zawiesza się wykonywanie obowiązków w zakresie badań okresowych. Pracodawca będzie miał 30 dni na ponowne skierowanie pracowników na badania.</w:t>
      </w:r>
      <w:r w:rsidR="00773698">
        <w:rPr>
          <w:rFonts w:ascii="Arial" w:hAnsi="Arial" w:cs="Arial"/>
          <w:sz w:val="20"/>
          <w:szCs w:val="20"/>
        </w:rPr>
        <w:t xml:space="preserve"> </w:t>
      </w:r>
      <w:r w:rsidRPr="0048337C">
        <w:rPr>
          <w:rFonts w:ascii="Arial" w:hAnsi="Arial" w:cs="Arial"/>
          <w:sz w:val="20"/>
          <w:szCs w:val="20"/>
        </w:rPr>
        <w:t>W przypadku braku dostępu do lekarza uprawnionego do przeprowadzenia badania wstępnego lub kontrolnego</w:t>
      </w:r>
      <w:r w:rsidR="00773698">
        <w:rPr>
          <w:rFonts w:ascii="Arial" w:hAnsi="Arial" w:cs="Arial"/>
          <w:sz w:val="20"/>
          <w:szCs w:val="20"/>
        </w:rPr>
        <w:t>,</w:t>
      </w:r>
      <w:r w:rsidRPr="0048337C">
        <w:rPr>
          <w:rFonts w:ascii="Arial" w:hAnsi="Arial" w:cs="Arial"/>
          <w:sz w:val="20"/>
          <w:szCs w:val="20"/>
        </w:rPr>
        <w:t xml:space="preserve"> badanie takie może przeprowadzić i wydać odpowiednie orzeczenie lekarskie inny lekarz</w:t>
      </w:r>
      <w:r w:rsidR="008F3965">
        <w:rPr>
          <w:rFonts w:ascii="Arial" w:hAnsi="Arial" w:cs="Arial"/>
          <w:sz w:val="20"/>
          <w:szCs w:val="20"/>
        </w:rPr>
        <w:t xml:space="preserve"> (</w:t>
      </w:r>
      <w:r w:rsidRPr="0048337C">
        <w:rPr>
          <w:rFonts w:ascii="Arial" w:hAnsi="Arial" w:cs="Arial"/>
          <w:sz w:val="20"/>
          <w:szCs w:val="20"/>
        </w:rPr>
        <w:t>traci moc po upływie 30 dni od dnia zakończenia</w:t>
      </w:r>
      <w:r w:rsidR="008F3965">
        <w:rPr>
          <w:rFonts w:ascii="Arial" w:hAnsi="Arial" w:cs="Arial"/>
          <w:sz w:val="20"/>
          <w:szCs w:val="20"/>
        </w:rPr>
        <w:t>)</w:t>
      </w:r>
      <w:r w:rsidRPr="0048337C">
        <w:rPr>
          <w:rFonts w:ascii="Arial" w:hAnsi="Arial" w:cs="Arial"/>
          <w:sz w:val="20"/>
          <w:szCs w:val="20"/>
        </w:rPr>
        <w:t>. Orzeczenie lekarskie wydane przez innego lekarza włącza się do akt osobowych pracownika.</w:t>
      </w:r>
    </w:p>
    <w:p w14:paraId="271F6498" w14:textId="0015FE69" w:rsidR="0048337C" w:rsidRPr="0048337C" w:rsidRDefault="0048337C" w:rsidP="00773698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Arial" w:hAnsi="Arial" w:cs="Arial"/>
          <w:sz w:val="20"/>
          <w:szCs w:val="20"/>
        </w:rPr>
      </w:pPr>
      <w:r w:rsidRPr="0048337C">
        <w:rPr>
          <w:rFonts w:ascii="Arial" w:hAnsi="Arial" w:cs="Arial"/>
          <w:sz w:val="20"/>
          <w:szCs w:val="20"/>
        </w:rPr>
        <w:t xml:space="preserve">W przypadku pracowników zamieszkałych na terenie </w:t>
      </w:r>
      <w:r w:rsidR="00773698">
        <w:rPr>
          <w:rFonts w:ascii="Arial" w:hAnsi="Arial" w:cs="Arial"/>
          <w:sz w:val="20"/>
          <w:szCs w:val="20"/>
        </w:rPr>
        <w:t>objętym powodzią, dopuszcza się również przeprow</w:t>
      </w:r>
      <w:r w:rsidRPr="0048337C">
        <w:rPr>
          <w:rFonts w:ascii="Arial" w:hAnsi="Arial" w:cs="Arial"/>
          <w:sz w:val="20"/>
          <w:szCs w:val="20"/>
        </w:rPr>
        <w:t>adzanie szkoleń wstępnych w dziedzinie bezpieczeństwa i higieny pracy w całości za pośrednictwem środków komunikacji elektronicznej (e-learning), z wyjątkiem instruktażu stanowiskowego.</w:t>
      </w:r>
      <w:r w:rsidR="00773698">
        <w:rPr>
          <w:rFonts w:ascii="Arial" w:hAnsi="Arial" w:cs="Arial"/>
          <w:sz w:val="20"/>
          <w:szCs w:val="20"/>
        </w:rPr>
        <w:t xml:space="preserve"> </w:t>
      </w:r>
      <w:r w:rsidRPr="0048337C">
        <w:rPr>
          <w:rFonts w:ascii="Arial" w:hAnsi="Arial" w:cs="Arial"/>
          <w:sz w:val="20"/>
          <w:szCs w:val="20"/>
        </w:rPr>
        <w:t>Termin przeprowadzenie szkolenia okresowego w dziedzinie bezpieczeństwa i higieny pracy wydłuża się do 30. dnia od dnia zakończenia ważności obecnych przepisów.</w:t>
      </w:r>
    </w:p>
    <w:p w14:paraId="7A62D2F6" w14:textId="77777777" w:rsidR="0048337C" w:rsidRPr="0048337C" w:rsidRDefault="0048337C" w:rsidP="0048337C">
      <w:pPr>
        <w:spacing w:after="160" w:line="259" w:lineRule="auto"/>
        <w:rPr>
          <w:kern w:val="2"/>
          <w14:ligatures w14:val="standardContextual"/>
        </w:rPr>
      </w:pPr>
    </w:p>
    <w:p w14:paraId="54066897" w14:textId="77777777" w:rsidR="0048337C" w:rsidRPr="00C93E3D" w:rsidRDefault="0048337C" w:rsidP="00C93E3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C18D4C7" w14:textId="77777777" w:rsidR="00117EB7" w:rsidRPr="007B5CA7" w:rsidRDefault="00117EB7" w:rsidP="00117EB7">
      <w:pPr>
        <w:spacing w:after="0"/>
        <w:rPr>
          <w:rFonts w:ascii="Arial" w:hAnsi="Arial" w:cs="Arial"/>
          <w:b/>
          <w:sz w:val="20"/>
          <w:szCs w:val="20"/>
        </w:rPr>
      </w:pPr>
      <w:r w:rsidRPr="007B5CA7">
        <w:rPr>
          <w:rFonts w:ascii="Arial" w:hAnsi="Arial" w:cs="Arial"/>
          <w:b/>
          <w:sz w:val="20"/>
          <w:szCs w:val="20"/>
        </w:rPr>
        <w:t>Kontakt dla mediów:</w:t>
      </w:r>
    </w:p>
    <w:p w14:paraId="4FA798C1" w14:textId="77777777" w:rsidR="00117EB7" w:rsidRPr="007B5CA7" w:rsidRDefault="00117EB7" w:rsidP="00117EB7">
      <w:pPr>
        <w:spacing w:after="0"/>
        <w:rPr>
          <w:rFonts w:ascii="Arial" w:hAnsi="Arial" w:cs="Arial"/>
          <w:sz w:val="20"/>
          <w:szCs w:val="20"/>
        </w:rPr>
      </w:pPr>
      <w:r w:rsidRPr="007B5CA7">
        <w:rPr>
          <w:rFonts w:ascii="Arial" w:hAnsi="Arial" w:cs="Arial"/>
          <w:sz w:val="20"/>
          <w:szCs w:val="20"/>
        </w:rPr>
        <w:t>Danuta Cabaj</w:t>
      </w:r>
    </w:p>
    <w:p w14:paraId="6B9C025F" w14:textId="77777777" w:rsidR="00117EB7" w:rsidRPr="007B5CA7" w:rsidRDefault="00117EB7" w:rsidP="00117EB7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7B5CA7">
        <w:rPr>
          <w:rFonts w:ascii="Arial" w:hAnsi="Arial" w:cs="Arial"/>
          <w:sz w:val="20"/>
          <w:szCs w:val="20"/>
        </w:rPr>
        <w:t>e-mail:danuta.cabaj@mslgroup.com</w:t>
      </w:r>
      <w:proofErr w:type="gramEnd"/>
    </w:p>
    <w:p w14:paraId="5B13E3AE" w14:textId="77777777" w:rsidR="00117EB7" w:rsidRPr="007B5CA7" w:rsidRDefault="00117EB7" w:rsidP="00117EB7">
      <w:pPr>
        <w:spacing w:after="0"/>
        <w:rPr>
          <w:rFonts w:ascii="Arial" w:hAnsi="Arial" w:cs="Arial"/>
          <w:sz w:val="20"/>
          <w:szCs w:val="20"/>
        </w:rPr>
      </w:pPr>
      <w:r w:rsidRPr="007B5CA7">
        <w:rPr>
          <w:rFonts w:ascii="Arial" w:hAnsi="Arial" w:cs="Arial"/>
          <w:sz w:val="20"/>
          <w:szCs w:val="20"/>
        </w:rPr>
        <w:t>M: +48 666 813 052</w:t>
      </w:r>
    </w:p>
    <w:p w14:paraId="25127D14" w14:textId="77777777" w:rsidR="00117EB7" w:rsidRPr="007B5CA7" w:rsidRDefault="00117EB7" w:rsidP="00117EB7">
      <w:pPr>
        <w:spacing w:after="0"/>
        <w:rPr>
          <w:rFonts w:ascii="Arial" w:hAnsi="Arial" w:cs="Arial"/>
          <w:sz w:val="20"/>
          <w:szCs w:val="20"/>
        </w:rPr>
      </w:pPr>
      <w:r w:rsidRPr="007B5CA7">
        <w:rPr>
          <w:rFonts w:ascii="Arial" w:hAnsi="Arial" w:cs="Arial"/>
          <w:sz w:val="20"/>
          <w:szCs w:val="20"/>
        </w:rPr>
        <w:t xml:space="preserve">          </w:t>
      </w:r>
    </w:p>
    <w:p w14:paraId="51552D33" w14:textId="77777777" w:rsidR="00117EB7" w:rsidRPr="007B5CA7" w:rsidRDefault="00117EB7" w:rsidP="00117EB7">
      <w:pPr>
        <w:spacing w:after="0"/>
        <w:rPr>
          <w:rFonts w:ascii="Arial" w:hAnsi="Arial" w:cs="Arial"/>
          <w:sz w:val="20"/>
          <w:szCs w:val="20"/>
        </w:rPr>
      </w:pPr>
      <w:r w:rsidRPr="007B5CA7">
        <w:rPr>
          <w:rFonts w:ascii="Arial" w:hAnsi="Arial" w:cs="Arial"/>
          <w:sz w:val="20"/>
          <w:szCs w:val="20"/>
        </w:rPr>
        <w:t xml:space="preserve">         </w:t>
      </w:r>
    </w:p>
    <w:p w14:paraId="4BB3DB90" w14:textId="77777777" w:rsidR="00117EB7" w:rsidRPr="007B5CA7" w:rsidRDefault="00117EB7" w:rsidP="00117EB7">
      <w:pPr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7B5CA7">
        <w:rPr>
          <w:rFonts w:ascii="Arial" w:hAnsi="Arial" w:cs="Arial"/>
          <w:color w:val="808080" w:themeColor="background1" w:themeShade="80"/>
          <w:sz w:val="20"/>
          <w:szCs w:val="20"/>
        </w:rPr>
        <w:t>***</w:t>
      </w:r>
    </w:p>
    <w:p w14:paraId="4DFAFB94" w14:textId="77777777" w:rsidR="00117EB7" w:rsidRPr="007B5CA7" w:rsidRDefault="00117EB7" w:rsidP="00117EB7">
      <w:pPr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7B5CA7">
        <w:rPr>
          <w:rFonts w:ascii="Arial" w:hAnsi="Arial" w:cs="Arial"/>
          <w:color w:val="808080" w:themeColor="background1" w:themeShade="80"/>
          <w:sz w:val="20"/>
          <w:szCs w:val="20"/>
        </w:rPr>
        <w:t xml:space="preserve">W&amp;W Consulting powstała w 2003 roku z inicjatywy praktyków inżynierii bezpieczeństwa. To pierwsza tak wyspecjalizowana firma świadcząca outsourcing bezpieczeństwa w zakresie usług BHP, Ochrony Przeciwpożarowej oraz ochrony środowiska, której innowacyjne podejście doceniły już największe firmy m.in. z sektora przemysłowego, finansowego, handlu detalicznego, logistyki oraz produkcji. Dzięki współpracy z W&amp;W Consulting, przedsiębiorstwa uzyskują dostęp do autorskiej platformy zarządzania bezpieczeństwem - </w:t>
      </w:r>
      <w:proofErr w:type="spellStart"/>
      <w:r w:rsidRPr="007B5CA7">
        <w:rPr>
          <w:rFonts w:ascii="Arial" w:hAnsi="Arial" w:cs="Arial"/>
          <w:color w:val="808080" w:themeColor="background1" w:themeShade="80"/>
          <w:sz w:val="20"/>
          <w:szCs w:val="20"/>
        </w:rPr>
        <w:t>eBHP</w:t>
      </w:r>
      <w:proofErr w:type="spellEnd"/>
      <w:r w:rsidRPr="007B5CA7">
        <w:rPr>
          <w:rFonts w:ascii="Arial" w:hAnsi="Arial" w:cs="Arial"/>
          <w:color w:val="808080" w:themeColor="background1" w:themeShade="80"/>
          <w:sz w:val="20"/>
          <w:szCs w:val="20"/>
        </w:rPr>
        <w:t>™, a także innowacyjnego systemu zamawiania sprzętu i odzieży roboczej, zgodnie z wymaganiami prawa pracy. Za jakość świadczonych usług odpowiada zespół ekspertów certyfikowanych przez Centralny Instytut Ochrony Pracy, a jej najlepszym potwierdzeniem jest certyfikat zarządzania zgodnie z normą ISO 9001:2008., który firma uzyskała już w 2011 roku.</w:t>
      </w:r>
    </w:p>
    <w:p w14:paraId="2CF6E1A6" w14:textId="18E84EE2" w:rsidR="007B5CA7" w:rsidRPr="00DD6D29" w:rsidRDefault="00117EB7" w:rsidP="00DD6D29">
      <w:pPr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7B5CA7">
        <w:rPr>
          <w:rFonts w:ascii="Arial" w:hAnsi="Arial" w:cs="Arial"/>
          <w:color w:val="808080" w:themeColor="background1" w:themeShade="80"/>
          <w:sz w:val="20"/>
          <w:szCs w:val="20"/>
        </w:rPr>
        <w:t>W ramach społecznej odpowiedzialności biznesu, W&amp;W Consulting od wielu lat angażuje się w charytatywne działania mające na celu edukację i promocję udzielania Pierwszej Pomocy Przedlekarskiej wśród dzieci i młodzieży</w:t>
      </w:r>
    </w:p>
    <w:sectPr w:rsidR="007B5CA7" w:rsidRPr="00DD6D29" w:rsidSect="007B5C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7CFC9" w14:textId="77777777" w:rsidR="00C21DAA" w:rsidRDefault="00C21DAA" w:rsidP="00EC6332">
      <w:pPr>
        <w:spacing w:after="0" w:line="240" w:lineRule="auto"/>
      </w:pPr>
      <w:r>
        <w:separator/>
      </w:r>
    </w:p>
  </w:endnote>
  <w:endnote w:type="continuationSeparator" w:id="0">
    <w:p w14:paraId="3465DDCA" w14:textId="77777777" w:rsidR="00C21DAA" w:rsidRDefault="00C21DAA" w:rsidP="00EC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5421C" w14:textId="77777777" w:rsidR="00EC6332" w:rsidRDefault="00EC63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90B5" w14:textId="77777777" w:rsidR="00EC6332" w:rsidRDefault="00EC63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F43B2" w14:textId="77777777" w:rsidR="00EC6332" w:rsidRDefault="00EC63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EC144" w14:textId="77777777" w:rsidR="00C21DAA" w:rsidRDefault="00C21DAA" w:rsidP="00EC6332">
      <w:pPr>
        <w:spacing w:after="0" w:line="240" w:lineRule="auto"/>
      </w:pPr>
      <w:r>
        <w:separator/>
      </w:r>
    </w:p>
  </w:footnote>
  <w:footnote w:type="continuationSeparator" w:id="0">
    <w:p w14:paraId="765E18B9" w14:textId="77777777" w:rsidR="00C21DAA" w:rsidRDefault="00C21DAA" w:rsidP="00EC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8E87A" w14:textId="4681A3D9" w:rsidR="00EC6332" w:rsidRDefault="00000000">
    <w:pPr>
      <w:pStyle w:val="Nagwek"/>
    </w:pPr>
    <w:r>
      <w:rPr>
        <w:noProof/>
      </w:rPr>
      <w:pict w14:anchorId="767786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5838532" o:spid="_x0000_s1026" type="#_x0000_t75" style="position:absolute;margin-left:0;margin-top:0;width:606.95pt;height:853.45pt;z-index:-251657216;mso-position-horizontal:center;mso-position-horizontal-relative:margin;mso-position-vertical:center;mso-position-vertical-relative:margin" o:allowincell="f">
          <v:imagedata r:id="rId1" o:title="papier firmowy red ti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1EFB7" w14:textId="625FEB0F" w:rsidR="00EC6332" w:rsidRDefault="00000000">
    <w:pPr>
      <w:pStyle w:val="Nagwek"/>
    </w:pPr>
    <w:r>
      <w:rPr>
        <w:noProof/>
      </w:rPr>
      <w:pict w14:anchorId="14C97C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5838533" o:spid="_x0000_s1027" type="#_x0000_t75" style="position:absolute;margin-left:0;margin-top:0;width:606.95pt;height:853.45pt;z-index:-251656192;mso-position-horizontal:center;mso-position-horizontal-relative:margin;mso-position-vertical:center;mso-position-vertical-relative:margin" o:allowincell="f">
          <v:imagedata r:id="rId1" o:title="papier firmowy red ti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F807B" w14:textId="2AAB1E37" w:rsidR="00EC6332" w:rsidRDefault="00000000">
    <w:pPr>
      <w:pStyle w:val="Nagwek"/>
    </w:pPr>
    <w:r>
      <w:rPr>
        <w:noProof/>
      </w:rPr>
      <w:pict w14:anchorId="01B2E1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5838531" o:spid="_x0000_s1025" type="#_x0000_t75" style="position:absolute;margin-left:0;margin-top:0;width:606.95pt;height:853.45pt;z-index:-251658240;mso-position-horizontal:center;mso-position-horizontal-relative:margin;mso-position-vertical:center;mso-position-vertical-relative:margin" o:allowincell="f">
          <v:imagedata r:id="rId1" o:title="papier firmowy red ti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7F56"/>
    <w:multiLevelType w:val="multilevel"/>
    <w:tmpl w:val="B95EC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01779"/>
    <w:multiLevelType w:val="multilevel"/>
    <w:tmpl w:val="4E52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E6F70"/>
    <w:multiLevelType w:val="multilevel"/>
    <w:tmpl w:val="DC1C9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5456D"/>
    <w:multiLevelType w:val="multilevel"/>
    <w:tmpl w:val="659CA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C486D"/>
    <w:multiLevelType w:val="hybridMultilevel"/>
    <w:tmpl w:val="979CB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D178C"/>
    <w:multiLevelType w:val="multilevel"/>
    <w:tmpl w:val="35986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6E0DA1"/>
    <w:multiLevelType w:val="hybridMultilevel"/>
    <w:tmpl w:val="A1A23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31932"/>
    <w:multiLevelType w:val="multilevel"/>
    <w:tmpl w:val="7D768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986592"/>
    <w:multiLevelType w:val="multilevel"/>
    <w:tmpl w:val="99B2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D47E00"/>
    <w:multiLevelType w:val="multilevel"/>
    <w:tmpl w:val="263E9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D01EC5"/>
    <w:multiLevelType w:val="multilevel"/>
    <w:tmpl w:val="52BE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6057C2"/>
    <w:multiLevelType w:val="multilevel"/>
    <w:tmpl w:val="F21E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3A1949"/>
    <w:multiLevelType w:val="multilevel"/>
    <w:tmpl w:val="73167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8614715"/>
    <w:multiLevelType w:val="multilevel"/>
    <w:tmpl w:val="5122E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F90304"/>
    <w:multiLevelType w:val="multilevel"/>
    <w:tmpl w:val="D20A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845DD3"/>
    <w:multiLevelType w:val="multilevel"/>
    <w:tmpl w:val="64F4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603204"/>
    <w:multiLevelType w:val="hybridMultilevel"/>
    <w:tmpl w:val="1BB40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05946"/>
    <w:multiLevelType w:val="multilevel"/>
    <w:tmpl w:val="155A85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B2827E6"/>
    <w:multiLevelType w:val="multilevel"/>
    <w:tmpl w:val="C838B7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3304D9C"/>
    <w:multiLevelType w:val="multilevel"/>
    <w:tmpl w:val="2C1EE3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A26516A"/>
    <w:multiLevelType w:val="multilevel"/>
    <w:tmpl w:val="35B0F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2702739">
    <w:abstractNumId w:val="4"/>
  </w:num>
  <w:num w:numId="2" w16cid:durableId="15186938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3035920">
    <w:abstractNumId w:val="6"/>
  </w:num>
  <w:num w:numId="4" w16cid:durableId="1544949278">
    <w:abstractNumId w:val="10"/>
  </w:num>
  <w:num w:numId="5" w16cid:durableId="643312545">
    <w:abstractNumId w:val="8"/>
  </w:num>
  <w:num w:numId="6" w16cid:durableId="1347556418">
    <w:abstractNumId w:val="14"/>
  </w:num>
  <w:num w:numId="7" w16cid:durableId="611546607">
    <w:abstractNumId w:val="12"/>
  </w:num>
  <w:num w:numId="8" w16cid:durableId="1984852342">
    <w:abstractNumId w:val="17"/>
  </w:num>
  <w:num w:numId="9" w16cid:durableId="1880166281">
    <w:abstractNumId w:val="18"/>
  </w:num>
  <w:num w:numId="10" w16cid:durableId="1376083770">
    <w:abstractNumId w:val="19"/>
  </w:num>
  <w:num w:numId="11" w16cid:durableId="529296607">
    <w:abstractNumId w:val="11"/>
  </w:num>
  <w:num w:numId="12" w16cid:durableId="886526419">
    <w:abstractNumId w:val="3"/>
  </w:num>
  <w:num w:numId="13" w16cid:durableId="400834908">
    <w:abstractNumId w:val="5"/>
  </w:num>
  <w:num w:numId="14" w16cid:durableId="455803383">
    <w:abstractNumId w:val="20"/>
  </w:num>
  <w:num w:numId="15" w16cid:durableId="1192959927">
    <w:abstractNumId w:val="9"/>
  </w:num>
  <w:num w:numId="16" w16cid:durableId="1585451545">
    <w:abstractNumId w:val="15"/>
  </w:num>
  <w:num w:numId="17" w16cid:durableId="898245650">
    <w:abstractNumId w:val="0"/>
  </w:num>
  <w:num w:numId="18" w16cid:durableId="1215894435">
    <w:abstractNumId w:val="7"/>
  </w:num>
  <w:num w:numId="19" w16cid:durableId="1229922718">
    <w:abstractNumId w:val="2"/>
  </w:num>
  <w:num w:numId="20" w16cid:durableId="1325360377">
    <w:abstractNumId w:val="13"/>
  </w:num>
  <w:num w:numId="21" w16cid:durableId="1773551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32"/>
    <w:rsid w:val="000231A6"/>
    <w:rsid w:val="00025384"/>
    <w:rsid w:val="00035401"/>
    <w:rsid w:val="000714A3"/>
    <w:rsid w:val="00077516"/>
    <w:rsid w:val="000A272B"/>
    <w:rsid w:val="000B016D"/>
    <w:rsid w:val="000B6DA8"/>
    <w:rsid w:val="000B7E5D"/>
    <w:rsid w:val="000C0197"/>
    <w:rsid w:val="000D2819"/>
    <w:rsid w:val="000E1E6A"/>
    <w:rsid w:val="000E2380"/>
    <w:rsid w:val="000F139D"/>
    <w:rsid w:val="00112C50"/>
    <w:rsid w:val="00113C36"/>
    <w:rsid w:val="00117EB7"/>
    <w:rsid w:val="0012447A"/>
    <w:rsid w:val="00144EEF"/>
    <w:rsid w:val="00150CBD"/>
    <w:rsid w:val="00154AE2"/>
    <w:rsid w:val="00163C57"/>
    <w:rsid w:val="00172C18"/>
    <w:rsid w:val="001738B4"/>
    <w:rsid w:val="00173E34"/>
    <w:rsid w:val="001817B8"/>
    <w:rsid w:val="001A703B"/>
    <w:rsid w:val="001B615D"/>
    <w:rsid w:val="001B79BE"/>
    <w:rsid w:val="001B7F36"/>
    <w:rsid w:val="001F1B64"/>
    <w:rsid w:val="001F1EA3"/>
    <w:rsid w:val="00214D47"/>
    <w:rsid w:val="00226D67"/>
    <w:rsid w:val="00237A6D"/>
    <w:rsid w:val="00244FF2"/>
    <w:rsid w:val="00255B5A"/>
    <w:rsid w:val="002D3186"/>
    <w:rsid w:val="002E44A6"/>
    <w:rsid w:val="00301956"/>
    <w:rsid w:val="00305583"/>
    <w:rsid w:val="00341A8E"/>
    <w:rsid w:val="00350A9A"/>
    <w:rsid w:val="00350E47"/>
    <w:rsid w:val="00355FA2"/>
    <w:rsid w:val="00371B0C"/>
    <w:rsid w:val="003A7DA0"/>
    <w:rsid w:val="003F68D2"/>
    <w:rsid w:val="00407DB0"/>
    <w:rsid w:val="0046207A"/>
    <w:rsid w:val="00466A9F"/>
    <w:rsid w:val="0048117B"/>
    <w:rsid w:val="0048337C"/>
    <w:rsid w:val="00492848"/>
    <w:rsid w:val="004A1C69"/>
    <w:rsid w:val="004C346B"/>
    <w:rsid w:val="004C51FA"/>
    <w:rsid w:val="00501E2A"/>
    <w:rsid w:val="005308CA"/>
    <w:rsid w:val="00533A79"/>
    <w:rsid w:val="00545E66"/>
    <w:rsid w:val="005533EA"/>
    <w:rsid w:val="005A3CCA"/>
    <w:rsid w:val="005A3D30"/>
    <w:rsid w:val="005C4D12"/>
    <w:rsid w:val="005E25B9"/>
    <w:rsid w:val="0061735E"/>
    <w:rsid w:val="006200DA"/>
    <w:rsid w:val="006421A9"/>
    <w:rsid w:val="00653197"/>
    <w:rsid w:val="0065484F"/>
    <w:rsid w:val="00657050"/>
    <w:rsid w:val="006B06E7"/>
    <w:rsid w:val="006C644B"/>
    <w:rsid w:val="007056FB"/>
    <w:rsid w:val="0073399D"/>
    <w:rsid w:val="00756891"/>
    <w:rsid w:val="00773698"/>
    <w:rsid w:val="00796583"/>
    <w:rsid w:val="007A4768"/>
    <w:rsid w:val="007B5CA7"/>
    <w:rsid w:val="007E34E2"/>
    <w:rsid w:val="007F3C1F"/>
    <w:rsid w:val="008419CF"/>
    <w:rsid w:val="00852B80"/>
    <w:rsid w:val="008A6D45"/>
    <w:rsid w:val="008D4FBA"/>
    <w:rsid w:val="008F3965"/>
    <w:rsid w:val="0090114A"/>
    <w:rsid w:val="00907405"/>
    <w:rsid w:val="00914B1B"/>
    <w:rsid w:val="00927430"/>
    <w:rsid w:val="00955385"/>
    <w:rsid w:val="00963D34"/>
    <w:rsid w:val="00986412"/>
    <w:rsid w:val="00995291"/>
    <w:rsid w:val="009A3B70"/>
    <w:rsid w:val="009F03C3"/>
    <w:rsid w:val="00A80256"/>
    <w:rsid w:val="00A8174F"/>
    <w:rsid w:val="00A86D72"/>
    <w:rsid w:val="00AA2C94"/>
    <w:rsid w:val="00AB4D1F"/>
    <w:rsid w:val="00AE689C"/>
    <w:rsid w:val="00B068DE"/>
    <w:rsid w:val="00B17966"/>
    <w:rsid w:val="00B208CD"/>
    <w:rsid w:val="00B33A26"/>
    <w:rsid w:val="00B35D35"/>
    <w:rsid w:val="00B51866"/>
    <w:rsid w:val="00B73DF0"/>
    <w:rsid w:val="00B90762"/>
    <w:rsid w:val="00BA2D8E"/>
    <w:rsid w:val="00BB3A93"/>
    <w:rsid w:val="00BB5E49"/>
    <w:rsid w:val="00BD1076"/>
    <w:rsid w:val="00C01329"/>
    <w:rsid w:val="00C14014"/>
    <w:rsid w:val="00C169F8"/>
    <w:rsid w:val="00C21DAA"/>
    <w:rsid w:val="00C46528"/>
    <w:rsid w:val="00C65C21"/>
    <w:rsid w:val="00C705F1"/>
    <w:rsid w:val="00C80A27"/>
    <w:rsid w:val="00C93E3D"/>
    <w:rsid w:val="00CB77F8"/>
    <w:rsid w:val="00CD4A19"/>
    <w:rsid w:val="00CF0903"/>
    <w:rsid w:val="00D06917"/>
    <w:rsid w:val="00D22BE4"/>
    <w:rsid w:val="00D242CB"/>
    <w:rsid w:val="00D25714"/>
    <w:rsid w:val="00D25B2C"/>
    <w:rsid w:val="00D34E14"/>
    <w:rsid w:val="00D439E5"/>
    <w:rsid w:val="00D545D9"/>
    <w:rsid w:val="00D7661C"/>
    <w:rsid w:val="00D77D0C"/>
    <w:rsid w:val="00D85A95"/>
    <w:rsid w:val="00D9044C"/>
    <w:rsid w:val="00DB30CC"/>
    <w:rsid w:val="00DC1DAF"/>
    <w:rsid w:val="00DC25F8"/>
    <w:rsid w:val="00DD6D29"/>
    <w:rsid w:val="00DD6F57"/>
    <w:rsid w:val="00DE6BF8"/>
    <w:rsid w:val="00DF747B"/>
    <w:rsid w:val="00E03CA2"/>
    <w:rsid w:val="00E1703C"/>
    <w:rsid w:val="00E249A1"/>
    <w:rsid w:val="00E2551E"/>
    <w:rsid w:val="00E72903"/>
    <w:rsid w:val="00E73C27"/>
    <w:rsid w:val="00E74A2E"/>
    <w:rsid w:val="00E87BFF"/>
    <w:rsid w:val="00EB19FA"/>
    <w:rsid w:val="00EC6332"/>
    <w:rsid w:val="00F01FF5"/>
    <w:rsid w:val="00F30643"/>
    <w:rsid w:val="00F318BA"/>
    <w:rsid w:val="00F40377"/>
    <w:rsid w:val="00F5227D"/>
    <w:rsid w:val="00F61EB4"/>
    <w:rsid w:val="00F62135"/>
    <w:rsid w:val="00F63E8E"/>
    <w:rsid w:val="00F67F08"/>
    <w:rsid w:val="00F8163B"/>
    <w:rsid w:val="00F82D74"/>
    <w:rsid w:val="00FA2244"/>
    <w:rsid w:val="00FA3DF3"/>
    <w:rsid w:val="00FA760E"/>
    <w:rsid w:val="00F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A6AE3"/>
  <w15:chartTrackingRefBased/>
  <w15:docId w15:val="{25A847DD-FF25-475F-8F7A-18DC88DF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CA7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615D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615D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332"/>
  </w:style>
  <w:style w:type="paragraph" w:styleId="Stopka">
    <w:name w:val="footer"/>
    <w:basedOn w:val="Normalny"/>
    <w:link w:val="StopkaZnak"/>
    <w:uiPriority w:val="99"/>
    <w:unhideWhenUsed/>
    <w:rsid w:val="00EC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332"/>
  </w:style>
  <w:style w:type="paragraph" w:styleId="NormalnyWeb">
    <w:name w:val="Normal (Web)"/>
    <w:basedOn w:val="Normalny"/>
    <w:uiPriority w:val="99"/>
    <w:unhideWhenUsed/>
    <w:rsid w:val="0024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74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F74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F74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74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747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D6F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A7DA0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6917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06917"/>
    <w:rPr>
      <w:rFonts w:ascii="Calibri" w:hAnsi="Calibri" w:cs="Calibri"/>
    </w:rPr>
  </w:style>
  <w:style w:type="paragraph" w:styleId="Poprawka">
    <w:name w:val="Revision"/>
    <w:hidden/>
    <w:uiPriority w:val="99"/>
    <w:semiHidden/>
    <w:rsid w:val="00F67F08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7F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7F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7F0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73DF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B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1B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B64"/>
    <w:rPr>
      <w:vertAlign w:val="superscript"/>
    </w:rPr>
  </w:style>
  <w:style w:type="character" w:customStyle="1" w:styleId="cf01">
    <w:name w:val="cf01"/>
    <w:basedOn w:val="Domylnaczcionkaakapitu"/>
    <w:rsid w:val="001F1B64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117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1B615D"/>
    <w:rPr>
      <w:rFonts w:ascii="Arial" w:eastAsia="Arial" w:hAnsi="Arial" w:cs="Arial"/>
      <w:color w:val="434343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B615D"/>
    <w:rPr>
      <w:rFonts w:ascii="Arial" w:eastAsia="Arial" w:hAnsi="Arial" w:cs="Arial"/>
      <w:color w:val="666666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0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571D6-0487-48B8-AB06-FA0B5EF2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901</Words>
  <Characters>4989</Characters>
  <Application>Microsoft Office Word</Application>
  <DocSecurity>0</DocSecurity>
  <Lines>86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Anioła, Dawid (W&amp;W Consulting)</dc:creator>
  <cp:keywords/>
  <dc:description/>
  <cp:lastModifiedBy>Malgorzata Urbas</cp:lastModifiedBy>
  <cp:revision>2</cp:revision>
  <dcterms:created xsi:type="dcterms:W3CDTF">2024-10-14T10:27:00Z</dcterms:created>
  <dcterms:modified xsi:type="dcterms:W3CDTF">2024-10-14T10:27:00Z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bb1e9f-f1bd-4bcf-afe4-d7b69718eb82_Enabled">
    <vt:lpwstr>true</vt:lpwstr>
  </property>
  <property fmtid="{D5CDD505-2E9C-101B-9397-08002B2CF9AE}" pid="3" name="MSIP_Label_81bb1e9f-f1bd-4bcf-afe4-d7b69718eb82_SetDate">
    <vt:lpwstr>2023-03-09T09:19:23Z</vt:lpwstr>
  </property>
  <property fmtid="{D5CDD505-2E9C-101B-9397-08002B2CF9AE}" pid="4" name="MSIP_Label_81bb1e9f-f1bd-4bcf-afe4-d7b69718eb82_Method">
    <vt:lpwstr>Standard</vt:lpwstr>
  </property>
  <property fmtid="{D5CDD505-2E9C-101B-9397-08002B2CF9AE}" pid="5" name="MSIP_Label_81bb1e9f-f1bd-4bcf-afe4-d7b69718eb82_Name">
    <vt:lpwstr>81bb1e9f-f1bd-4bcf-afe4-d7b69718eb82</vt:lpwstr>
  </property>
  <property fmtid="{D5CDD505-2E9C-101B-9397-08002B2CF9AE}" pid="6" name="MSIP_Label_81bb1e9f-f1bd-4bcf-afe4-d7b69718eb82_SiteId">
    <vt:lpwstr>7d27e474-1ac7-491b-9d05-c11dd4a58f55</vt:lpwstr>
  </property>
  <property fmtid="{D5CDD505-2E9C-101B-9397-08002B2CF9AE}" pid="7" name="MSIP_Label_81bb1e9f-f1bd-4bcf-afe4-d7b69718eb82_ActionId">
    <vt:lpwstr>22b7927f-614e-411b-adfb-ef9e202b3da6</vt:lpwstr>
  </property>
  <property fmtid="{D5CDD505-2E9C-101B-9397-08002B2CF9AE}" pid="8" name="MSIP_Label_81bb1e9f-f1bd-4bcf-afe4-d7b69718eb82_ContentBits">
    <vt:lpwstr>0</vt:lpwstr>
  </property>
</Properties>
</file>